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452" w:right="98" w:hanging="2348"/>
        <w:jc w:val="left"/>
      </w:pPr>
      <w:r>
        <w:rPr/>
        <w:t>Планируемое строительство индивидуального жилого дома: законодательные требования и необходимые документы</w:t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100"/>
      </w:pPr>
      <w:r>
        <w:rPr/>
        <w:t>Действующее законодательство под объектом индивидуального жилищного строительства (далее – объект ИЖС) понимает отдельно стоящее здание с количеством надземных этажей не более чем три, высотой не более</w:t>
      </w:r>
    </w:p>
    <w:p>
      <w:pPr>
        <w:pStyle w:val="BodyText"/>
        <w:ind w:left="100" w:right="108" w:firstLine="0"/>
      </w:pPr>
      <w:r>
        <w:rPr/>
        <w:t>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</w:p>
    <w:p>
      <w:pPr>
        <w:pStyle w:val="BodyText"/>
        <w:ind w:left="100"/>
      </w:pPr>
      <w:r>
        <w:rPr/>
        <w:t>В соответствии со ст. 51.1 Градостроительного кодекса Российской Федерации</w:t>
      </w:r>
      <w:r>
        <w:rPr>
          <w:spacing w:val="-18"/>
        </w:rPr>
        <w:t> </w:t>
      </w:r>
      <w:r>
        <w:rPr/>
        <w:t>(далее</w:t>
      </w:r>
      <w:r>
        <w:rPr>
          <w:spacing w:val="-18"/>
        </w:rPr>
        <w:t> </w:t>
      </w:r>
      <w:r>
        <w:rPr/>
        <w:t>–</w:t>
      </w:r>
      <w:r>
        <w:rPr>
          <w:spacing w:val="-17"/>
        </w:rPr>
        <w:t> </w:t>
      </w:r>
      <w:r>
        <w:rPr/>
        <w:t>ГрК</w:t>
      </w:r>
      <w:r>
        <w:rPr>
          <w:spacing w:val="-18"/>
        </w:rPr>
        <w:t> </w:t>
      </w:r>
      <w:r>
        <w:rPr/>
        <w:t>РФ)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целях</w:t>
      </w:r>
      <w:r>
        <w:rPr>
          <w:spacing w:val="-18"/>
        </w:rPr>
        <w:t> </w:t>
      </w:r>
      <w:r>
        <w:rPr/>
        <w:t>строительства</w:t>
      </w:r>
      <w:r>
        <w:rPr>
          <w:spacing w:val="-17"/>
        </w:rPr>
        <w:t> </w:t>
      </w:r>
      <w:r>
        <w:rPr/>
        <w:t>объекта</w:t>
      </w:r>
      <w:r>
        <w:rPr>
          <w:spacing w:val="-18"/>
        </w:rPr>
        <w:t> </w:t>
      </w:r>
      <w:r>
        <w:rPr/>
        <w:t>ИЖС</w:t>
      </w:r>
      <w:r>
        <w:rPr>
          <w:spacing w:val="-18"/>
        </w:rPr>
        <w:t> </w:t>
      </w:r>
      <w:r>
        <w:rPr/>
        <w:t>застройщику необходимо обратиться в уполномоченный орган с уведомлением о планируемом строительстве объекта ИЖС, содержащее в том числе сведения о фамилии, имени, отчестве, месте жительства застройщика, реквизита документа,</w:t>
      </w:r>
      <w:r>
        <w:rPr>
          <w:spacing w:val="-17"/>
        </w:rPr>
        <w:t> </w:t>
      </w:r>
      <w:r>
        <w:rPr/>
        <w:t>удостоверяющего</w:t>
      </w:r>
      <w:r>
        <w:rPr>
          <w:spacing w:val="-16"/>
        </w:rPr>
        <w:t> </w:t>
      </w:r>
      <w:r>
        <w:rPr/>
        <w:t>личность</w:t>
      </w:r>
      <w:r>
        <w:rPr>
          <w:spacing w:val="-16"/>
        </w:rPr>
        <w:t> </w:t>
      </w:r>
      <w:r>
        <w:rPr/>
        <w:t>(для</w:t>
      </w:r>
      <w:r>
        <w:rPr>
          <w:spacing w:val="-16"/>
        </w:rPr>
        <w:t> </w:t>
      </w:r>
      <w:r>
        <w:rPr/>
        <w:t>физического</w:t>
      </w:r>
      <w:r>
        <w:rPr>
          <w:spacing w:val="-16"/>
        </w:rPr>
        <w:t> </w:t>
      </w:r>
      <w:r>
        <w:rPr/>
        <w:t>лица),</w:t>
      </w:r>
      <w:r>
        <w:rPr>
          <w:spacing w:val="-16"/>
        </w:rPr>
        <w:t> </w:t>
      </w:r>
      <w:r>
        <w:rPr/>
        <w:t>наименовании и месте нахождения застройщика (для юридического лица), о кадастровом номере земельного участка (при его наличии), адресе или описании местоположения земельного участка, сведения о правах на данный участок, о видах разрешенного использования земельного участка, о планируемых параметрах объекта ИЖС. Также к уведомлению прикладываются правоустанавливающие</w:t>
      </w:r>
      <w:r>
        <w:rPr>
          <w:spacing w:val="-13"/>
        </w:rPr>
        <w:t> </w:t>
      </w:r>
      <w:r>
        <w:rPr/>
        <w:t>документы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земельный</w:t>
      </w:r>
      <w:r>
        <w:rPr>
          <w:spacing w:val="-12"/>
        </w:rPr>
        <w:t> </w:t>
      </w:r>
      <w:r>
        <w:rPr/>
        <w:t>участок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случае,</w:t>
      </w:r>
      <w:r>
        <w:rPr>
          <w:spacing w:val="-13"/>
        </w:rPr>
        <w:t> </w:t>
      </w:r>
      <w:r>
        <w:rPr/>
        <w:t>если</w:t>
      </w:r>
      <w:r>
        <w:rPr>
          <w:spacing w:val="-13"/>
        </w:rPr>
        <w:t> </w:t>
      </w:r>
      <w:r>
        <w:rPr/>
        <w:t>права на</w:t>
      </w:r>
      <w:r>
        <w:rPr>
          <w:spacing w:val="-18"/>
        </w:rPr>
        <w:t> </w:t>
      </w:r>
      <w:r>
        <w:rPr/>
        <w:t>него</w:t>
      </w:r>
      <w:r>
        <w:rPr>
          <w:spacing w:val="-17"/>
        </w:rPr>
        <w:t> </w:t>
      </w:r>
      <w:r>
        <w:rPr/>
        <w:t>не</w:t>
      </w:r>
      <w:r>
        <w:rPr>
          <w:spacing w:val="-17"/>
        </w:rPr>
        <w:t> </w:t>
      </w:r>
      <w:r>
        <w:rPr/>
        <w:t>зарегистрированы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ЕГРН,</w:t>
      </w:r>
      <w:r>
        <w:rPr>
          <w:spacing w:val="-18"/>
        </w:rPr>
        <w:t> </w:t>
      </w:r>
      <w:r>
        <w:rPr/>
        <w:t>описание</w:t>
      </w:r>
      <w:r>
        <w:rPr>
          <w:spacing w:val="-18"/>
        </w:rPr>
        <w:t> </w:t>
      </w:r>
      <w:r>
        <w:rPr/>
        <w:t>внешнего</w:t>
      </w:r>
      <w:r>
        <w:rPr>
          <w:spacing w:val="-17"/>
        </w:rPr>
        <w:t> </w:t>
      </w:r>
      <w:r>
        <w:rPr/>
        <w:t>облика</w:t>
      </w:r>
      <w:r>
        <w:rPr>
          <w:spacing w:val="-18"/>
        </w:rPr>
        <w:t> </w:t>
      </w:r>
      <w:r>
        <w:rPr/>
        <w:t>объекта</w:t>
      </w:r>
      <w:r>
        <w:rPr>
          <w:spacing w:val="-17"/>
        </w:rPr>
        <w:t> </w:t>
      </w:r>
      <w:r>
        <w:rPr/>
        <w:t>ИЖС в случае, если строительство планируется в границах территории исторического поселения федерального или регионального</w:t>
      </w:r>
      <w:r>
        <w:rPr>
          <w:spacing w:val="-8"/>
        </w:rPr>
        <w:t> </w:t>
      </w:r>
      <w:r>
        <w:rPr/>
        <w:t>значения.</w:t>
      </w:r>
    </w:p>
    <w:p>
      <w:pPr>
        <w:pStyle w:val="BodyText"/>
        <w:ind w:right="108"/>
      </w:pPr>
      <w:r>
        <w:rPr/>
        <w:t>Следует отметь, что для строительства объектов ИЖС не требуется подготовка проектной документации.</w:t>
      </w:r>
    </w:p>
    <w:p>
      <w:pPr>
        <w:pStyle w:val="BodyText"/>
        <w:ind w:left="100" w:right="108"/>
      </w:pPr>
      <w:r>
        <w:rPr/>
        <w:t>По результатам рассмотрения данного уведомления уполномоченный орган выдает уведомление о соответствии/несоответствии указанных в уведомлении о планируемом строительстве параметров объекта ИЖС установленным параметрам и допустимости размещения объекта ИЖС на земельном участке.</w:t>
      </w:r>
    </w:p>
    <w:p>
      <w:pPr>
        <w:pStyle w:val="BodyText"/>
      </w:pPr>
      <w:r>
        <w:rPr/>
        <w:t>Получение уведомления о соответствии считается согласованием уполномоченным органом строительства объекта ИЖС и дает право застройщику осуществлять его в соответствии с параметрами, указанными в уведомлении о планируемом строительстве, в течение 10 лет со дня направления застройщиком такого уведомления.</w:t>
      </w:r>
    </w:p>
    <w:p>
      <w:pPr>
        <w:pStyle w:val="BodyText"/>
        <w:ind w:left="100"/>
      </w:pPr>
      <w:r>
        <w:rPr/>
        <w:t>После завершения строительства объекта ИЖС застройщик подает уведомление об окончании строительства, содержащее информацию о параметрах уже построенного объекта, на которое должно быть получено уведомление уполномоченного органа - о соответствии параметров строительства ранее заявленным.</w:t>
      </w:r>
    </w:p>
    <w:p>
      <w:pPr>
        <w:pStyle w:val="BodyText"/>
      </w:pPr>
      <w:r>
        <w:rPr/>
        <w:t>Получение от уполномоченного органа уведомления о соответствии построенного объекта ИЖС требованиям законодательства о градостроительной деятельности дает возможность осуществить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76"/>
        <w:ind w:right="108" w:firstLine="0"/>
      </w:pPr>
      <w:r>
        <w:rPr/>
        <w:t>государственный кадастровый учет и государственную регистрацию права в отношении возведенного объекта.</w:t>
      </w:r>
    </w:p>
    <w:p>
      <w:pPr>
        <w:pStyle w:val="BodyText"/>
        <w:ind w:left="810" w:right="0" w:firstLine="0"/>
      </w:pPr>
      <w:r>
        <w:rPr/>
        <w:t>Вместе с тем в соответствии со ст. 70 Федерального закона от 13.07.2015</w:t>
      </w:r>
    </w:p>
    <w:p>
      <w:pPr>
        <w:pStyle w:val="BodyText"/>
        <w:ind w:firstLine="0"/>
      </w:pPr>
      <w:r>
        <w:rPr/>
        <w:t>№ 218-ФЗ «О государственной регистрации недвижимости» до 1 марта 2026 года допускается осуществление государственного кадастрового учета и государственной регистрации прав на жилой,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соответствующий параметрам объекта индивидуального жилищного строительства, указанным в п. 39 ст. 1 ГрК РФ,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</w:t>
      </w:r>
      <w:r>
        <w:rPr>
          <w:spacing w:val="-33"/>
        </w:rPr>
        <w:t> </w:t>
      </w:r>
      <w:r>
        <w:rPr/>
        <w:t>заявителя на земельный участок, на котором расположен указанный объект недвижимости.</w:t>
      </w:r>
    </w:p>
    <w:p>
      <w:pPr>
        <w:pStyle w:val="BodyText"/>
        <w:ind w:right="108"/>
      </w:pPr>
      <w:r>
        <w:rPr/>
        <w:t>Однако наличие упрощенного порядка государственного кадастрового учета и государственной регистрации права в отношении объектов не исключает обязанности застройщиков при строительстве объекта ИЖС соблюдать градостроительные и строительные нормы и правила, технические регламенты, а также требования о целевом назначении земельного участка.</w:t>
      </w:r>
    </w:p>
    <w:p>
      <w:pPr>
        <w:pStyle w:val="BodyText"/>
        <w:ind w:right="108"/>
      </w:pPr>
      <w:r>
        <w:rPr/>
        <w:t>Нарушение вышеуказанных норм и правил при строительстве объекта ИЖС может повлечь признание такого объекта самовольной постройкой (ст. 222 Гражданского кодекса Российской Федерации).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1" w:right="107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Беркут</dc:creator>
  <dcterms:created xsi:type="dcterms:W3CDTF">2023-05-31T05:56:53Z</dcterms:created>
  <dcterms:modified xsi:type="dcterms:W3CDTF">2023-05-31T05:56:53Z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2023-05-31T00:00:00Z</vt:filetime>
  </property>
</Properties>
</file>